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D" w:rsidRDefault="00AF353D" w:rsidP="00AF353D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Астраханская область</w:t>
      </w:r>
    </w:p>
    <w:p w:rsidR="00AF353D" w:rsidRDefault="00AF353D" w:rsidP="00AF353D">
      <w:pPr>
        <w:keepNext/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Камызякский</w:t>
      </w:r>
      <w:proofErr w:type="spellEnd"/>
      <w:r>
        <w:rPr>
          <w:rFonts w:ascii="Arial" w:hAnsi="Arial" w:cs="Arial"/>
        </w:rPr>
        <w:t xml:space="preserve"> район</w:t>
      </w:r>
    </w:p>
    <w:p w:rsidR="00AF353D" w:rsidRDefault="00AF353D" w:rsidP="00AF353D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«Верхнекалиновский сельсовет»</w:t>
      </w:r>
    </w:p>
    <w:p w:rsidR="00AF353D" w:rsidRDefault="00AF353D" w:rsidP="00AF353D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AF353D" w:rsidRDefault="00AF353D" w:rsidP="00AF353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 СОВЕТА</w:t>
      </w:r>
    </w:p>
    <w:p w:rsidR="00AF353D" w:rsidRDefault="00AF353D" w:rsidP="00AF353D">
      <w:pPr>
        <w:keepNext/>
        <w:spacing w:line="276" w:lineRule="auto"/>
        <w:jc w:val="both"/>
        <w:rPr>
          <w:rFonts w:ascii="Arial" w:hAnsi="Arial" w:cs="Arial"/>
          <w:u w:val="single"/>
        </w:rPr>
      </w:pPr>
    </w:p>
    <w:p w:rsidR="00AF353D" w:rsidRDefault="00AF353D" w:rsidP="00AF353D">
      <w:pPr>
        <w:keepNext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15.02. 2019 г. № 01/1                                         </w:t>
      </w:r>
    </w:p>
    <w:p w:rsidR="00AF353D" w:rsidRDefault="00AF353D" w:rsidP="00AF35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О  Порядке</w:t>
      </w:r>
      <w:proofErr w:type="gramEnd"/>
      <w:r>
        <w:rPr>
          <w:rFonts w:ascii="Arial" w:hAnsi="Arial" w:cs="Arial"/>
        </w:rPr>
        <w:t xml:space="preserve"> планирования </w:t>
      </w:r>
    </w:p>
    <w:p w:rsidR="00AF353D" w:rsidRDefault="00AF353D" w:rsidP="00AF353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приватизации</w:t>
      </w:r>
      <w:proofErr w:type="gramEnd"/>
      <w:r>
        <w:rPr>
          <w:rFonts w:ascii="Arial" w:hAnsi="Arial" w:cs="Arial"/>
        </w:rPr>
        <w:t xml:space="preserve"> муниципального имущества,</w:t>
      </w:r>
    </w:p>
    <w:p w:rsidR="00AF353D" w:rsidRDefault="00AF353D" w:rsidP="00AF353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находящегося</w:t>
      </w:r>
      <w:proofErr w:type="gramEnd"/>
      <w:r>
        <w:rPr>
          <w:rFonts w:ascii="Arial" w:hAnsi="Arial" w:cs="Arial"/>
        </w:rPr>
        <w:t xml:space="preserve"> в собственности </w:t>
      </w:r>
    </w:p>
    <w:p w:rsidR="00AF353D" w:rsidRDefault="00AF353D" w:rsidP="00AF353D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муниципальном образовании «Верхнекалиновский сельсовет» </w:t>
      </w:r>
    </w:p>
    <w:p w:rsidR="00AF353D" w:rsidRDefault="00AF353D" w:rsidP="00AF353D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AF353D" w:rsidRDefault="00AF353D" w:rsidP="00AF353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</w:p>
    <w:p w:rsidR="00AF353D" w:rsidRDefault="00AF353D" w:rsidP="00AF353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На основании Федерального закона от 31.12.2017г. № 505-ФЗ в ст.32.1.Федерального закона от 21.12.2001 № 178-ФЗ </w:t>
      </w:r>
      <w:proofErr w:type="gramStart"/>
      <w:r>
        <w:rPr>
          <w:rFonts w:ascii="Arial" w:hAnsi="Arial" w:cs="Arial"/>
          <w:spacing w:val="-2"/>
        </w:rPr>
        <w:t>« О</w:t>
      </w:r>
      <w:proofErr w:type="gramEnd"/>
      <w:r>
        <w:rPr>
          <w:rFonts w:ascii="Arial" w:hAnsi="Arial" w:cs="Arial"/>
          <w:spacing w:val="-2"/>
        </w:rPr>
        <w:t xml:space="preserve"> приватизации государственного и муниципального имущества (далее Закон № 178) </w:t>
      </w:r>
    </w:p>
    <w:p w:rsidR="00AF353D" w:rsidRDefault="00AF353D" w:rsidP="00AF353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Совет муниципального образования </w:t>
      </w:r>
      <w:r>
        <w:rPr>
          <w:rFonts w:ascii="Arial" w:hAnsi="Arial" w:cs="Arial"/>
        </w:rPr>
        <w:t>«Верхнекалиновский сельсовет»</w:t>
      </w:r>
    </w:p>
    <w:p w:rsidR="00AF353D" w:rsidRDefault="00AF353D" w:rsidP="00AF353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</w:rPr>
      </w:pPr>
    </w:p>
    <w:p w:rsidR="00AF353D" w:rsidRDefault="00AF353D" w:rsidP="00AF353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РЕШИЛ:</w:t>
      </w:r>
    </w:p>
    <w:p w:rsidR="00AF353D" w:rsidRDefault="00AF353D" w:rsidP="00AF353D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pacing w:val="-2"/>
        </w:rPr>
      </w:pPr>
    </w:p>
    <w:p w:rsidR="00AF353D" w:rsidRDefault="00AF353D" w:rsidP="00AF35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проект Порядка планирования приватизации муниципального имущества, находящегося в собственности в муниципальном образовании «Верхнекалиновский сельсовет</w:t>
      </w:r>
      <w:proofErr w:type="gramStart"/>
      <w:r>
        <w:rPr>
          <w:rFonts w:ascii="Arial" w:hAnsi="Arial" w:cs="Arial"/>
        </w:rPr>
        <w:t>» .</w:t>
      </w:r>
      <w:proofErr w:type="gramEnd"/>
    </w:p>
    <w:p w:rsidR="00AF353D" w:rsidRDefault="00AF353D" w:rsidP="00AF35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в установленном порядке.</w:t>
      </w:r>
    </w:p>
    <w:p w:rsidR="00AF353D" w:rsidRDefault="00AF353D" w:rsidP="00AF353D">
      <w:pPr>
        <w:shd w:val="clear" w:color="auto" w:fill="FFFFFF"/>
        <w:spacing w:line="276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3. Настоящее Решение вступает в силу со дня обнародования.</w:t>
      </w:r>
    </w:p>
    <w:p w:rsidR="00AF353D" w:rsidRDefault="00AF353D" w:rsidP="00AF353D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pacing w:val="-2"/>
        </w:rPr>
      </w:pPr>
    </w:p>
    <w:p w:rsidR="00AF353D" w:rsidRDefault="00AF353D" w:rsidP="00AF353D">
      <w:pPr>
        <w:shd w:val="clear" w:color="auto" w:fill="FFFFFF"/>
        <w:spacing w:line="276" w:lineRule="auto"/>
        <w:jc w:val="both"/>
        <w:rPr>
          <w:rFonts w:ascii="Arial" w:hAnsi="Arial" w:cs="Arial"/>
          <w:spacing w:val="-2"/>
          <w:highlight w:val="yellow"/>
        </w:rPr>
      </w:pPr>
    </w:p>
    <w:p w:rsidR="00AF353D" w:rsidRDefault="00AF353D" w:rsidP="00AF353D">
      <w:pPr>
        <w:shd w:val="clear" w:color="auto" w:fill="FFFFFF"/>
        <w:spacing w:line="276" w:lineRule="auto"/>
        <w:jc w:val="both"/>
        <w:rPr>
          <w:rFonts w:ascii="Arial" w:hAnsi="Arial" w:cs="Arial"/>
          <w:spacing w:val="-2"/>
          <w:highlight w:val="yellow"/>
        </w:rPr>
      </w:pPr>
    </w:p>
    <w:p w:rsidR="00AF353D" w:rsidRDefault="00AF353D" w:rsidP="00AF353D">
      <w:pPr>
        <w:shd w:val="clear" w:color="auto" w:fill="FFFFFF"/>
        <w:spacing w:line="276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Председатель Совета</w:t>
      </w:r>
    </w:p>
    <w:p w:rsidR="00AF353D" w:rsidRDefault="00AF353D" w:rsidP="00AF353D">
      <w:pPr>
        <w:shd w:val="clear" w:color="auto" w:fill="FFFFFF"/>
        <w:spacing w:line="276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МО</w:t>
      </w:r>
      <w:r>
        <w:rPr>
          <w:rFonts w:ascii="Arial" w:hAnsi="Arial" w:cs="Arial"/>
        </w:rPr>
        <w:t xml:space="preserve"> «Верхнекалиновский </w:t>
      </w:r>
      <w:proofErr w:type="gramStart"/>
      <w:r>
        <w:rPr>
          <w:rFonts w:ascii="Arial" w:hAnsi="Arial" w:cs="Arial"/>
        </w:rPr>
        <w:t>сельсовет»</w:t>
      </w:r>
      <w:r>
        <w:rPr>
          <w:rFonts w:ascii="Arial" w:hAnsi="Arial" w:cs="Arial"/>
          <w:spacing w:val="-2"/>
        </w:rPr>
        <w:t xml:space="preserve">  ,</w:t>
      </w:r>
      <w:proofErr w:type="gramEnd"/>
      <w:r>
        <w:rPr>
          <w:rFonts w:ascii="Arial" w:hAnsi="Arial" w:cs="Arial"/>
          <w:spacing w:val="-2"/>
        </w:rPr>
        <w:t xml:space="preserve">                                            </w:t>
      </w:r>
      <w:proofErr w:type="spellStart"/>
      <w:r>
        <w:rPr>
          <w:rFonts w:ascii="Arial" w:hAnsi="Arial" w:cs="Arial"/>
          <w:spacing w:val="-2"/>
        </w:rPr>
        <w:t>С.К.Фомин</w:t>
      </w:r>
      <w:proofErr w:type="spellEnd"/>
      <w:r>
        <w:rPr>
          <w:rFonts w:ascii="Arial" w:hAnsi="Arial" w:cs="Arial"/>
          <w:spacing w:val="-2"/>
        </w:rPr>
        <w:t>.</w:t>
      </w:r>
    </w:p>
    <w:p w:rsidR="00AF353D" w:rsidRDefault="00AF353D" w:rsidP="00AF353D">
      <w:pPr>
        <w:shd w:val="clear" w:color="auto" w:fill="FFFFFF"/>
        <w:spacing w:line="276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Глава МО </w:t>
      </w:r>
      <w:r>
        <w:rPr>
          <w:rFonts w:ascii="Arial" w:hAnsi="Arial" w:cs="Arial"/>
        </w:rPr>
        <w:t>«Верхнекалиновский сельсовет»</w:t>
      </w:r>
    </w:p>
    <w:p w:rsidR="00AF353D" w:rsidRDefault="00AF353D" w:rsidP="00AF353D">
      <w:pPr>
        <w:shd w:val="clear" w:color="auto" w:fill="FFFFFF"/>
        <w:spacing w:line="240" w:lineRule="atLeast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                </w:t>
      </w: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 xml:space="preserve">                                                                    Утверждено</w:t>
      </w: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       Решением Совета МО </w:t>
      </w: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 «Верхнекалиновский сельсовет»</w:t>
      </w: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                                                    </w:t>
      </w:r>
      <w:proofErr w:type="gramStart"/>
      <w:r>
        <w:rPr>
          <w:rFonts w:ascii="Arial" w:hAnsi="Arial" w:cs="Arial"/>
          <w:color w:val="000000"/>
          <w:spacing w:val="-2"/>
        </w:rPr>
        <w:t>от</w:t>
      </w:r>
      <w:proofErr w:type="gramEnd"/>
      <w:r>
        <w:rPr>
          <w:rFonts w:ascii="Arial" w:hAnsi="Arial" w:cs="Arial"/>
          <w:color w:val="000000"/>
          <w:spacing w:val="-2"/>
        </w:rPr>
        <w:t xml:space="preserve"> 15.02.2019г. № 01/1</w:t>
      </w: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shd w:val="clear" w:color="auto" w:fill="FFFFFF"/>
        <w:spacing w:line="240" w:lineRule="atLeast"/>
        <w:ind w:firstLine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ПОРЯДОК ПЛАНИРОВАНИЯ ПРИВАТИЗАЦИИ МУНИЦИПАЛЬНОГО </w:t>
      </w:r>
      <w:proofErr w:type="gramStart"/>
      <w:r>
        <w:rPr>
          <w:rFonts w:ascii="Arial" w:hAnsi="Arial" w:cs="Arial"/>
          <w:color w:val="000000"/>
          <w:spacing w:val="-2"/>
        </w:rPr>
        <w:t>ИМУЩЕСТВА ,</w:t>
      </w:r>
      <w:proofErr w:type="gramEnd"/>
      <w:r>
        <w:rPr>
          <w:rFonts w:ascii="Arial" w:hAnsi="Arial" w:cs="Arial"/>
          <w:color w:val="000000"/>
          <w:spacing w:val="-2"/>
        </w:rPr>
        <w:t xml:space="preserve"> НАХОДЯЩЕГОСЯ В СОБСТВЕННОСТИ  В МУНИЦИПАЛЬНОМ ОБРАЗОВАНИИ «ВЕРХНЕКАЛИНОВСКИЙ СЕЛЬСОВЕТ»</w:t>
      </w:r>
    </w:p>
    <w:p w:rsidR="00AF353D" w:rsidRDefault="00AF353D" w:rsidP="00AF353D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1.Настоящий Порядок разработан в соответствии</w:t>
      </w:r>
      <w:r>
        <w:rPr>
          <w:rFonts w:ascii="Arial" w:hAnsi="Arial" w:cs="Arial"/>
        </w:rPr>
        <w:t xml:space="preserve"> с </w:t>
      </w:r>
      <w:proofErr w:type="gramStart"/>
      <w:r>
        <w:rPr>
          <w:rFonts w:ascii="Arial" w:hAnsi="Arial" w:cs="Arial"/>
        </w:rPr>
        <w:t>Федеральным  законом</w:t>
      </w:r>
      <w:proofErr w:type="gramEnd"/>
      <w:r>
        <w:rPr>
          <w:rFonts w:ascii="Arial" w:hAnsi="Arial" w:cs="Arial"/>
        </w:rPr>
        <w:t xml:space="preserve">  от 31.12.2017г. № 505-ФЗ ,Федеральным законом от 21.12.2001 № 178-ФЗ « О приватизации государственного и муниципального имущества ( далее Закон №178) внесенных изменений , вступившие в силу с 01.07.2018г., устанавливает механизм  планирования приватизации муниципального имущества находящегося в собственности МО «Верхнекалиновский сельсовет» (далее- муниципальное имущество) в соответствующем финансовом году.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Планирование приватизации муниципального имущества осуществляется исходя из необходимости выполнения задач, определенных </w:t>
      </w:r>
      <w:proofErr w:type="gramStart"/>
      <w:r>
        <w:rPr>
          <w:rFonts w:ascii="Arial" w:hAnsi="Arial" w:cs="Arial"/>
        </w:rPr>
        <w:t>программой  социально</w:t>
      </w:r>
      <w:proofErr w:type="gramEnd"/>
      <w:r>
        <w:rPr>
          <w:rFonts w:ascii="Arial" w:hAnsi="Arial" w:cs="Arial"/>
        </w:rPr>
        <w:t>-экономического развития МО «Верхнекалиновский сельсовет».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3.Проведение </w:t>
      </w:r>
      <w:proofErr w:type="gramStart"/>
      <w:r>
        <w:rPr>
          <w:rFonts w:ascii="Arial" w:hAnsi="Arial" w:cs="Arial"/>
        </w:rPr>
        <w:t>продажи  государственного</w:t>
      </w:r>
      <w:proofErr w:type="gramEnd"/>
      <w:r>
        <w:rPr>
          <w:rFonts w:ascii="Arial" w:hAnsi="Arial" w:cs="Arial"/>
        </w:rPr>
        <w:t xml:space="preserve"> и муниципального имущества в  электронной форме (далее продажа в электронной форме) осуществляется на электронной площадке оператором электронной площадки.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Оператор электронной площадки, электронная площадка, порядок ее функционирования должны </w:t>
      </w:r>
      <w:proofErr w:type="gramStart"/>
      <w:r>
        <w:rPr>
          <w:rFonts w:ascii="Arial" w:hAnsi="Arial" w:cs="Arial"/>
        </w:rPr>
        <w:t>соответствовать  единым</w:t>
      </w:r>
      <w:proofErr w:type="gramEnd"/>
      <w:r>
        <w:rPr>
          <w:rFonts w:ascii="Arial" w:hAnsi="Arial" w:cs="Arial"/>
        </w:rPr>
        <w:t xml:space="preserve"> требованиям к операторам электронных площадок , электронным площадкам и  функционированию электронных площадок, установленным в соответствии с  федеральным законом от 5 апреля 2013 года № 44-ФЗ « О контрактной системе в сфере закупок  товаров, работ, услуг, для обеспечения государственных и муниципальных нужд.»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Планирование приватизации муниципального </w:t>
      </w:r>
      <w:proofErr w:type="gramStart"/>
      <w:r>
        <w:rPr>
          <w:rFonts w:ascii="Arial" w:hAnsi="Arial" w:cs="Arial"/>
        </w:rPr>
        <w:t>имущества ,</w:t>
      </w:r>
      <w:proofErr w:type="gramEnd"/>
      <w:r>
        <w:rPr>
          <w:rFonts w:ascii="Arial" w:hAnsi="Arial" w:cs="Arial"/>
        </w:rPr>
        <w:t xml:space="preserve"> в том числе разработка прогнозного плана, осуществляется администрацией МО «Верхнекалиновский сельсовет», осуществляющей управление и распоряжение муниципальной собственностью, в соответствии со следующими принципами :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-свободный и бесплатный доступ к информации о проведении продажи в электронной форме, а также бесперебойное функционирование электронной площадки и доступ к </w:t>
      </w:r>
      <w:proofErr w:type="gramStart"/>
      <w:r>
        <w:rPr>
          <w:rFonts w:ascii="Arial" w:hAnsi="Arial" w:cs="Arial"/>
        </w:rPr>
        <w:t>ней  пользователей</w:t>
      </w:r>
      <w:proofErr w:type="gramEnd"/>
      <w:r>
        <w:rPr>
          <w:rFonts w:ascii="Arial" w:hAnsi="Arial" w:cs="Arial"/>
        </w:rPr>
        <w:t>, в том числе участников  продажи в электронной форме, в течение  всего срока проведения такой продажи.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требование к </w:t>
      </w:r>
      <w:proofErr w:type="gramStart"/>
      <w:r>
        <w:rPr>
          <w:rFonts w:ascii="Arial" w:hAnsi="Arial" w:cs="Arial"/>
        </w:rPr>
        <w:t>операторам  электронных</w:t>
      </w:r>
      <w:proofErr w:type="gramEnd"/>
      <w:r>
        <w:rPr>
          <w:rFonts w:ascii="Arial" w:hAnsi="Arial" w:cs="Arial"/>
        </w:rPr>
        <w:t xml:space="preserve"> площадок и функционированию электронных площадок предусматривают, в  том числе порядок использования государственной информационной системы, которая  осуществляет фиксацию действий , бездействия, совершаемых на  электронной площадке при проведении продажи в электронной форме.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5.Планирование приватизации муниципального имущества осуществляется путем </w:t>
      </w:r>
      <w:proofErr w:type="gramStart"/>
      <w:r>
        <w:rPr>
          <w:rFonts w:ascii="Arial" w:hAnsi="Arial" w:cs="Arial"/>
        </w:rPr>
        <w:t>подготовки  прогнозного</w:t>
      </w:r>
      <w:proofErr w:type="gramEnd"/>
      <w:r>
        <w:rPr>
          <w:rFonts w:ascii="Arial" w:hAnsi="Arial" w:cs="Arial"/>
        </w:rPr>
        <w:t xml:space="preserve"> плана.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6.Прогнозный план представляется в форме таблицы.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7.Первый и четвертый разделы содержат перечень муниципального имущества, по каждому из которых указывается характеристика (год постройки, балансовая стоимость объекта, местонахождение, кадастровый номер земельного участка.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 о </w:t>
      </w:r>
      <w:proofErr w:type="gramStart"/>
      <w:r>
        <w:rPr>
          <w:rFonts w:ascii="Arial" w:hAnsi="Arial" w:cs="Arial"/>
        </w:rPr>
        <w:t>выполнении  прогнозного</w:t>
      </w:r>
      <w:proofErr w:type="gramEnd"/>
      <w:r>
        <w:rPr>
          <w:rFonts w:ascii="Arial" w:hAnsi="Arial" w:cs="Arial"/>
        </w:rPr>
        <w:t xml:space="preserve"> Плана приватизации должен содержать перечень приватизированного муниципального имущества за отчетный период с указанием способа, срока и цены сделки приватизации.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8.В прогнозный план могут вноситься изменения и дополнения.</w:t>
      </w:r>
    </w:p>
    <w:p w:rsidR="00AF353D" w:rsidRDefault="00AF353D" w:rsidP="00AF353D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и дополнения в прогнозный план вносятся и утверждаются в том же </w:t>
      </w:r>
      <w:proofErr w:type="gramStart"/>
      <w:r>
        <w:rPr>
          <w:rFonts w:ascii="Arial" w:hAnsi="Arial" w:cs="Arial"/>
        </w:rPr>
        <w:t>порядке ,</w:t>
      </w:r>
      <w:proofErr w:type="gramEnd"/>
      <w:r>
        <w:rPr>
          <w:rFonts w:ascii="Arial" w:hAnsi="Arial" w:cs="Arial"/>
        </w:rPr>
        <w:t xml:space="preserve"> что и при разработке прогнозного плана.</w:t>
      </w:r>
    </w:p>
    <w:p w:rsidR="00AF353D" w:rsidRDefault="00AF353D" w:rsidP="00AF353D"/>
    <w:p w:rsidR="00CF592A" w:rsidRDefault="00CF592A">
      <w:bookmarkStart w:id="0" w:name="_GoBack"/>
      <w:bookmarkEnd w:id="0"/>
    </w:p>
    <w:sectPr w:rsidR="00CF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D"/>
    <w:rsid w:val="00AF353D"/>
    <w:rsid w:val="00C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32A0-9592-4D8B-8347-3A1ACE9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2019-03-26T07:40:00Z</dcterms:created>
  <dcterms:modified xsi:type="dcterms:W3CDTF">2019-03-26T07:41:00Z</dcterms:modified>
</cp:coreProperties>
</file>